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A83C" w14:textId="77777777" w:rsidR="00CB0520" w:rsidRDefault="00CB0520" w:rsidP="00CB0520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ES</w:t>
      </w:r>
    </w:p>
    <w:p w14:paraId="2D00CB42" w14:textId="77777777" w:rsidR="00CB0520" w:rsidRDefault="00CB0520" w:rsidP="00CB0520">
      <w:pPr>
        <w:rPr>
          <w:rFonts w:asciiTheme="minorHAnsi" w:hAnsiTheme="minorHAnsi"/>
          <w:sz w:val="22"/>
        </w:rPr>
      </w:pPr>
    </w:p>
    <w:p w14:paraId="2B5F5695" w14:textId="77777777" w:rsidR="009C5DD6" w:rsidRPr="00037E7B" w:rsidRDefault="009C5DD6" w:rsidP="009C5D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ANEXO II</w:t>
      </w:r>
    </w:p>
    <w:p w14:paraId="03895EA2" w14:textId="77777777" w:rsidR="009C5DD6" w:rsidRPr="00037E7B" w:rsidRDefault="009C5DD6" w:rsidP="009C5D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«ANEXO II</w:t>
      </w:r>
    </w:p>
    <w:p w14:paraId="480031C9" w14:textId="77777777" w:rsidR="009C5DD6" w:rsidRPr="00037E7B" w:rsidRDefault="009C5DD6" w:rsidP="009C5DD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INSTRUCCIONES PARA LA COMUNICACIÓN DE INFORMACIÓN SOBRE LOS FONDOS PROPIOS Y LOS REQUISITOS DE FONDOS PROPIOS</w:t>
      </w:r>
    </w:p>
    <w:p w14:paraId="08E08E50" w14:textId="77777777" w:rsidR="00EE75F2" w:rsidRDefault="00EE75F2"/>
    <w:p w14:paraId="29C05932" w14:textId="7194A2B7" w:rsidR="00925646" w:rsidRDefault="00FA21C6" w:rsidP="0092564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PARTE II: INSTRUCCIONES RELATIVAS A LAS PLANTILLAS</w:t>
      </w:r>
    </w:p>
    <w:p w14:paraId="4DA6D037" w14:textId="77777777" w:rsidR="00FC29F5" w:rsidRDefault="00736637" w:rsidP="0092564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7B580897" w14:textId="4FDF8965" w:rsidR="00736637" w:rsidRPr="00736637" w:rsidRDefault="00736637" w:rsidP="0092564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532AAD9A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10415035"/>
      <w:bookmarkStart w:id="1" w:name="_Toc360188372"/>
      <w:bookmarkStart w:id="2" w:name="_Toc473560923"/>
      <w:bookmarkStart w:id="3" w:name="_Toc151714430"/>
      <w:r>
        <w:rPr>
          <w:rFonts w:ascii="Times New Roman" w:hAnsi="Times New Roman"/>
          <w:sz w:val="24"/>
          <w:u w:val="none"/>
        </w:rPr>
        <w:t>3.6.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C 11.00 – Riesgo de liquidación/entrega</w:t>
      </w:r>
      <w:bookmarkEnd w:id="0"/>
      <w:bookmarkEnd w:id="1"/>
      <w:r>
        <w:rPr>
          <w:rFonts w:ascii="Times New Roman" w:hAnsi="Times New Roman"/>
          <w:sz w:val="24"/>
        </w:rPr>
        <w:t xml:space="preserve"> (CR SETT)</w:t>
      </w:r>
      <w:bookmarkEnd w:id="2"/>
      <w:bookmarkEnd w:id="3"/>
    </w:p>
    <w:p w14:paraId="2752D001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4" w:name="_Toc262568045"/>
      <w:bookmarkStart w:id="5" w:name="_Toc295829924"/>
      <w:bookmarkStart w:id="6" w:name="_Toc310415036"/>
      <w:bookmarkStart w:id="7" w:name="_Toc360188373"/>
      <w:bookmarkStart w:id="8" w:name="_Toc473560924"/>
      <w:bookmarkStart w:id="9" w:name="_Toc151714431"/>
      <w:r>
        <w:rPr>
          <w:rFonts w:ascii="Times New Roman" w:hAnsi="Times New Roman"/>
          <w:sz w:val="24"/>
          <w:u w:val="none"/>
        </w:rPr>
        <w:t>3.6.1.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Observaciones generales</w:t>
      </w:r>
      <w:bookmarkEnd w:id="4"/>
      <w:bookmarkEnd w:id="5"/>
      <w:bookmarkEnd w:id="6"/>
      <w:bookmarkEnd w:id="7"/>
      <w:bookmarkEnd w:id="8"/>
      <w:bookmarkEnd w:id="9"/>
    </w:p>
    <w:p w14:paraId="2F026EC9" w14:textId="0B459D4B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 w:rsidRPr="002A677E">
        <w:t>99</w:t>
      </w:r>
      <w:r>
        <w:fldChar w:fldCharType="end"/>
      </w:r>
      <w:r>
        <w:t>.</w:t>
      </w:r>
      <w:r>
        <w:tab/>
        <w:t xml:space="preserve">Esta plantilla recoge información relativa a las operaciones tanto de la cartera de negociación como de la cartera de inversión pendientes de liquidar después de la fecha de entrega estipulada, y a los correspondientes requisitos de fondos propios para hacer frente al riesgo de liquidación a que se refieren el artículo 92, apartado 3, letra c), inciso ii), y el artículo 378 del Reglamento (UE) n.º 575/2013. </w:t>
      </w:r>
    </w:p>
    <w:p w14:paraId="0B60E63F" w14:textId="08AFF3CE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 w:rsidRPr="002A677E">
        <w:t>100</w:t>
      </w:r>
      <w:r>
        <w:fldChar w:fldCharType="end"/>
      </w:r>
      <w:r>
        <w:t>.</w:t>
      </w:r>
      <w:r>
        <w:tab/>
        <w:t xml:space="preserve">Las entidades comunicarán en la plantilla CR SETT la información relativa al riesgo de liquidación/entrega asociado con los instrumentos de deuda, instrumentos de patrimonio, divisas y materias primas de su cartera de negociación o su cartera de inversión. </w:t>
      </w:r>
    </w:p>
    <w:p w14:paraId="1F6DAE78" w14:textId="6128EA1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 w:rsidRPr="002A677E">
        <w:t>101</w:t>
      </w:r>
      <w:r>
        <w:fldChar w:fldCharType="end"/>
      </w:r>
      <w:r>
        <w:t>.</w:t>
      </w:r>
      <w:r>
        <w:tab/>
        <w:t>Conforme al artículo 378 del Reglamento (UE) n.º 575/2013, las operaciones de recompra, y de préstamo y toma en préstamo de valores o materias primas en conexión con instrumentos de deuda, instrumentos de patrimonio, divisas y materias primas no están sujetas a requisitos de fondos propios por riesgo de liquidación/entrega. Nótese, sin embargo, que los derivados y operaciones con liquidación diferida pendientes de liquidación después de la fecha de entrega estipulada sí estarán sujetos a requisitos de fondos propios por riesgo de liquidación/entrega con arreglo al artículo 378 del Reglamento (UE) n.º 575/2013.</w:t>
      </w:r>
    </w:p>
    <w:p w14:paraId="4DCAF22E" w14:textId="79A986C3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 w:rsidRPr="002A677E">
        <w:t>102</w:t>
      </w:r>
      <w:r>
        <w:fldChar w:fldCharType="end"/>
      </w:r>
      <w:r>
        <w:t>.</w:t>
      </w:r>
      <w:r>
        <w:tab/>
        <w:t xml:space="preserve">En el caso de las operaciones no liquidadas después de la fecha de entrega estipulada, las entidades deberán calcular la diferencia de precio a que se hallen expuestas. Esta será igual a la diferencia entre el precio de liquidación acordado para los instrumentos de deuda, instrumentos de patrimonio, divisas o materias primas de que se trate y su valor actual de mercado, en caso de que dicha diferencia pueda entrañar pérdidas para la entidad. </w:t>
      </w:r>
    </w:p>
    <w:p w14:paraId="7DB9BE93" w14:textId="77A3E431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 w:rsidRPr="002A677E">
        <w:t>103</w:t>
      </w:r>
      <w:r>
        <w:fldChar w:fldCharType="end"/>
      </w:r>
      <w:r>
        <w:t>.</w:t>
      </w:r>
      <w:r>
        <w:tab/>
        <w:t>Las entidades multiplicarán dicha diferencia por el factor apropiado del cuadro 1 del artículo 378 del Reglamento (UE) n.º 575/2013, al objeto de determinar los correspondientes requisitos de fondos propios.</w:t>
      </w:r>
    </w:p>
    <w:p w14:paraId="59D114DF" w14:textId="657627A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lastRenderedPageBreak/>
        <w:fldChar w:fldCharType="begin"/>
      </w:r>
      <w:r>
        <w:instrText>seq paragraphs</w:instrText>
      </w:r>
      <w:r>
        <w:fldChar w:fldCharType="separate"/>
      </w:r>
      <w:r w:rsidRPr="002A677E">
        <w:t>104</w:t>
      </w:r>
      <w:r>
        <w:fldChar w:fldCharType="end"/>
      </w:r>
      <w:r>
        <w:t>.</w:t>
      </w:r>
      <w:r>
        <w:tab/>
        <w:t>De conformidad con el artículo 92, apartado 4, letra b), del Reglamento (UE) n.º 575/2013, los requisitos de fondos propios por riesgo de liquidación/entrega se multiplicarán por 12,5 para calcular el importe de la exposición al riesgo.</w:t>
      </w:r>
    </w:p>
    <w:p w14:paraId="451A9870" w14:textId="00DC3B9D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 w:rsidRPr="002A677E">
        <w:t>105</w:t>
      </w:r>
      <w:r>
        <w:fldChar w:fldCharType="end"/>
      </w:r>
      <w:r>
        <w:t>.</w:t>
      </w:r>
      <w:r>
        <w:tab/>
        <w:t>Nótese que los requisitos de fondos propios para las operaciones incompletas establecidos en el artículo 379 del Reglamento (UE) n.º 575/2013 quedan fuera de la plantilla CR SETT. Estos se comunicarán en las plantillas relativas al riesgo de crédito (CR SA, CR IRB).</w:t>
      </w:r>
    </w:p>
    <w:p w14:paraId="2856C9F8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0" w:name="_Toc310415037"/>
      <w:bookmarkStart w:id="11" w:name="_Toc360188374"/>
      <w:bookmarkStart w:id="12" w:name="_Toc473560925"/>
      <w:bookmarkStart w:id="13" w:name="_Toc151714432"/>
      <w:r>
        <w:rPr>
          <w:rFonts w:ascii="Times New Roman" w:hAnsi="Times New Roman"/>
          <w:sz w:val="24"/>
          <w:u w:val="none"/>
        </w:rPr>
        <w:t>3.6.2.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Instrucciones relativas a posiciones concretas</w:t>
      </w:r>
      <w:bookmarkEnd w:id="10"/>
      <w:bookmarkEnd w:id="11"/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925646" w:rsidRPr="002A677E" w14:paraId="1C4B6209" w14:textId="77777777" w:rsidTr="00E07FE9">
        <w:tc>
          <w:tcPr>
            <w:tcW w:w="8856" w:type="dxa"/>
            <w:gridSpan w:val="2"/>
            <w:shd w:val="clear" w:color="auto" w:fill="CCCCCC"/>
          </w:tcPr>
          <w:p w14:paraId="248EFB4C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Columnas</w:t>
            </w:r>
          </w:p>
        </w:tc>
      </w:tr>
      <w:tr w:rsidR="00925646" w:rsidRPr="002A677E" w14:paraId="0C777B7A" w14:textId="77777777" w:rsidTr="00E07FE9">
        <w:tc>
          <w:tcPr>
            <w:tcW w:w="852" w:type="dxa"/>
          </w:tcPr>
          <w:p w14:paraId="12FCBB6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04AF1B5E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NO LIQUIDADAS, AL PRECIO DE LIQUIDACIÓN</w:t>
            </w:r>
          </w:p>
          <w:p w14:paraId="4CB9A5A9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Las entidades comunicarán las operaciones no liquidadas después de su fecha de liquidación estipulada, a los respectivos precios de liquidación acordados, con arreglo al artículo 378 del Reglamento (UE) n.º 575/2013. </w:t>
            </w:r>
          </w:p>
          <w:p w14:paraId="09152D4C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En esta columna se incluirán todas las operaciones no liquidadas, con independencia de que generen ganancias o pérdidas después de la fecha de liquidación estipulada.</w:t>
            </w:r>
          </w:p>
        </w:tc>
      </w:tr>
      <w:tr w:rsidR="00925646" w:rsidRPr="002A677E" w14:paraId="5FEA9B26" w14:textId="77777777" w:rsidTr="00E07FE9">
        <w:tc>
          <w:tcPr>
            <w:tcW w:w="852" w:type="dxa"/>
          </w:tcPr>
          <w:p w14:paraId="5EC8BA01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004" w:type="dxa"/>
          </w:tcPr>
          <w:p w14:paraId="5594AB8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EXPOSICIÓN A LA DIFERENCIA DE PRECIO DEBIDA A LAS OPERACIONES NO LIQUIDADAS</w:t>
            </w:r>
          </w:p>
          <w:p w14:paraId="43853ADA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Las entidades comunicarán la diferencia entre el precio de liquidación acordado para los instrumentos de deuda, instrumentos de patrimonio, divisas o materias primas de que se trate y su valor actual de mercado, en caso de que dicha diferencia pueda entrañar pérdidas para la entidad, con arreglo al artículo 378 del Reglamento (UE) n.º 575/2013. </w:t>
            </w:r>
          </w:p>
          <w:p w14:paraId="692F8AB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En esta columna se comunicarán únicamente las operaciones no liquidadas que generen pérdidas después de la fecha de liquidación acordada.</w:t>
            </w:r>
          </w:p>
        </w:tc>
      </w:tr>
      <w:tr w:rsidR="00925646" w:rsidRPr="002A677E" w14:paraId="40F087AE" w14:textId="77777777" w:rsidTr="00E07FE9">
        <w:tc>
          <w:tcPr>
            <w:tcW w:w="852" w:type="dxa"/>
          </w:tcPr>
          <w:p w14:paraId="464EF1DF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5DA1D58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REQUISITOS DE FONDOS PROPIOS</w:t>
            </w:r>
          </w:p>
          <w:p w14:paraId="24894388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Las entidades comunicarán los requisitos de fondos propios calculados con arreglo al artículo 378 del Reglamento (UE) n.º 575/2013.</w:t>
            </w:r>
          </w:p>
        </w:tc>
      </w:tr>
      <w:tr w:rsidR="00925646" w:rsidRPr="002A677E" w14:paraId="185C6E1B" w14:textId="77777777" w:rsidTr="00E07FE9">
        <w:tc>
          <w:tcPr>
            <w:tcW w:w="852" w:type="dxa"/>
          </w:tcPr>
          <w:p w14:paraId="6691FECB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004" w:type="dxa"/>
          </w:tcPr>
          <w:p w14:paraId="09E890C2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DE LA EXPOSICIÓN AL RIESGO DE LIQUIDACIÓN</w:t>
            </w:r>
          </w:p>
          <w:p w14:paraId="3A06223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 conformidad con el artículo 92, apartado 4, letra b), del Reglamento (UE) n.º 575/2013, para calcular el importe de la exposición al riesgo de liquidación, las entidades multiplicarán por 12,5 sus requisitos de fondos propios comunicados en la columna 0030.</w:t>
            </w:r>
          </w:p>
        </w:tc>
      </w:tr>
    </w:tbl>
    <w:p w14:paraId="2CF8C386" w14:textId="77777777" w:rsidR="00925646" w:rsidRPr="002A677E" w:rsidRDefault="00925646" w:rsidP="0092564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10"/>
      </w:tblGrid>
      <w:tr w:rsidR="00925646" w:rsidRPr="002A677E" w14:paraId="49AB5F6A" w14:textId="77777777" w:rsidTr="00E07FE9">
        <w:tc>
          <w:tcPr>
            <w:tcW w:w="8862" w:type="dxa"/>
            <w:gridSpan w:val="2"/>
            <w:shd w:val="clear" w:color="auto" w:fill="CCCCCC"/>
          </w:tcPr>
          <w:p w14:paraId="5E71AA9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Filas</w:t>
            </w:r>
          </w:p>
        </w:tc>
      </w:tr>
      <w:tr w:rsidR="00925646" w:rsidRPr="002A677E" w14:paraId="6E36F3A5" w14:textId="77777777" w:rsidTr="00E07FE9">
        <w:tc>
          <w:tcPr>
            <w:tcW w:w="852" w:type="dxa"/>
          </w:tcPr>
          <w:p w14:paraId="4E78548D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10" w:type="dxa"/>
          </w:tcPr>
          <w:p w14:paraId="7950866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de operaciones no liquidadas de la cartera de inversión</w:t>
            </w:r>
          </w:p>
          <w:p w14:paraId="21410DD0" w14:textId="700C573F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Las entidades comunicarán la información agregada relativa al riesgo de liquidación/entrega correspondiente a las posiciones de su cartera de inversión [con arreglo al artículo 92, apartado 4, letra c </w:t>
            </w:r>
            <w:r>
              <w:rPr>
                <w:rFonts w:ascii="Times New Roman" w:hAnsi="Times New Roman"/>
                <w:i/>
                <w:iCs/>
                <w:sz w:val="24"/>
              </w:rPr>
              <w:t>bis</w:t>
            </w:r>
            <w:r>
              <w:rPr>
                <w:rFonts w:ascii="Times New Roman" w:hAnsi="Times New Roman"/>
                <w:sz w:val="24"/>
              </w:rPr>
              <w:t>), y al artículo 378 del Reglamento (UE) n.º 575/2013].</w:t>
            </w:r>
          </w:p>
          <w:p w14:paraId="57BBA9B8" w14:textId="77777777" w:rsidR="00925646" w:rsidRPr="002A677E" w:rsidRDefault="00925646" w:rsidP="00E07FE9">
            <w:pPr>
              <w:spacing w:beforeLines="60" w:before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Las entidades comunicarán en {r0010;c0010} el importe agregado de las operaciones no liquidadas después de sus fechas de entrega estipuladas, a los respectivos precios de liquidación acordados.</w:t>
            </w:r>
          </w:p>
          <w:p w14:paraId="556AEAC8" w14:textId="77777777" w:rsidR="00925646" w:rsidRPr="002A677E" w:rsidRDefault="00925646" w:rsidP="00E07FE9">
            <w:pPr>
              <w:spacing w:beforeLines="60" w:before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Las entidades comunicarán en {r0010;c0020} la información agregada relativa a la exposición a la diferencia de precio debida a las operaciones no liquidadas que generen pérdidas.</w:t>
            </w:r>
          </w:p>
          <w:p w14:paraId="01BDECED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Las entidades comunicarán en {r0010;c0030] los requisitos agregados de fondos propios resultantes de sumar los requisitos de fondos propios para las operaciones no liquidadas y de multiplicar la “diferencia de precio” comunicada en la columna 0020 por el factor apropiado, basado en el número de días hábiles transcurridos desde la fecha de liquidación estipulada [categorías enumeradas en el cuadro 1 del artículo 378 del Reglamento (UE) n.º 575/2013].</w:t>
            </w:r>
          </w:p>
        </w:tc>
      </w:tr>
      <w:tr w:rsidR="00925646" w:rsidRPr="002A677E" w14:paraId="5C9B2254" w14:textId="77777777" w:rsidTr="00E07FE9">
        <w:tc>
          <w:tcPr>
            <w:tcW w:w="852" w:type="dxa"/>
          </w:tcPr>
          <w:p w14:paraId="4D2DFFF2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0020-0060</w:t>
            </w:r>
          </w:p>
        </w:tc>
        <w:tc>
          <w:tcPr>
            <w:tcW w:w="8010" w:type="dxa"/>
          </w:tcPr>
          <w:p w14:paraId="78C0D32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sin liquidar hasta 4 días (factor 0</w:t>
            </w:r>
            <w:r>
              <w:t> 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%) </w:t>
            </w:r>
          </w:p>
          <w:p w14:paraId="18729DF9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sin liquidar entre 5 y 15 días (factor 8 %)</w:t>
            </w:r>
          </w:p>
          <w:p w14:paraId="00232284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sin liquidar entre 16 y 30 días (factor 50 %)</w:t>
            </w:r>
          </w:p>
          <w:p w14:paraId="5EEFD9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sin liquidar entre 31 y 45 días (factor 75 %)</w:t>
            </w:r>
          </w:p>
          <w:p w14:paraId="326E480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sin liquidar durante 46 días o más (factor 100 %)</w:t>
            </w:r>
          </w:p>
          <w:p w14:paraId="4BCE7D0D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Las entidades comunicarán en las filas 0020 a 0060 la información relativa al riesgo de liquidación/entrega correspondiente a las posiciones de la cartera de inversión con arreglo a las categorías enumeradas en el cuadro 1 del artículo 378 del Reglamento (UE) n.º 575/2013. </w:t>
            </w:r>
          </w:p>
          <w:p w14:paraId="4BA03842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 se exigirán requisitos de fondos propios por riesgo de liquidación/entrega en lo que respecta a las operaciones sin liquidar durante menos de cinco días hábiles después de la fecha de liquidación estipulada.</w:t>
            </w:r>
          </w:p>
        </w:tc>
      </w:tr>
      <w:tr w:rsidR="00925646" w:rsidRPr="002A677E" w14:paraId="271E44B6" w14:textId="77777777" w:rsidTr="00E07FE9">
        <w:tc>
          <w:tcPr>
            <w:tcW w:w="852" w:type="dxa"/>
          </w:tcPr>
          <w:p w14:paraId="4680CF00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010" w:type="dxa"/>
          </w:tcPr>
          <w:p w14:paraId="56920EB6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de operaciones no liquidadas de la cartera de negociación</w:t>
            </w:r>
          </w:p>
          <w:p w14:paraId="3C4B428B" w14:textId="446A5161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Las entidades comunicarán la información agregada relativa al riesgo de liquidación/entrega correspondiente a las posiciones de su cartera de negociación [con arreglo al artículo 92, apartado 4, letra c </w:t>
            </w:r>
            <w:r>
              <w:rPr>
                <w:rFonts w:ascii="Times New Roman" w:hAnsi="Times New Roman"/>
                <w:i/>
                <w:iCs/>
                <w:sz w:val="24"/>
              </w:rPr>
              <w:t>bis</w:t>
            </w:r>
            <w:r>
              <w:rPr>
                <w:rFonts w:ascii="Times New Roman" w:hAnsi="Times New Roman"/>
                <w:sz w:val="24"/>
              </w:rPr>
              <w:t>), y al artículo 378 del Reglamento (UE) n.º 575/2013].</w:t>
            </w:r>
          </w:p>
          <w:p w14:paraId="2E44B3F3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Las entidades comunicarán en {r0070;c0010} el importe agregado de las operaciones no liquidadas después de sus fechas de entrega estipuladas, a los respectivos precios de liquidación acordados.</w:t>
            </w:r>
          </w:p>
          <w:p w14:paraId="1CB848DF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Las entidades comunicarán en {r0070;c0020} la información agregada relativa a la exposición a la diferencia de precio debida a las operaciones no liquidadas que generen pérdidas.</w:t>
            </w:r>
          </w:p>
          <w:p w14:paraId="64D05373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Las entidades comunicarán en {r0070;c0030} los requisitos agregados de fondos propios resultantes de sumar los requisitos de fondos propios para las operaciones </w:t>
            </w:r>
            <w:r>
              <w:rPr>
                <w:rFonts w:ascii="Times New Roman" w:hAnsi="Times New Roman"/>
                <w:sz w:val="24"/>
              </w:rPr>
              <w:lastRenderedPageBreak/>
              <w:t>no liquidadas y de multiplicar la “diferencia de precio” comunicada en la columna 0020 por el factor apropiado, basado en el número de días hábiles transcurridos desde la fecha de liquidación estipulada [categorías enumeradas en el cuadro 1 del artículo 378 del Reglamento (UE) n.º 575/2013].</w:t>
            </w:r>
          </w:p>
        </w:tc>
      </w:tr>
      <w:tr w:rsidR="00925646" w:rsidRPr="002A677E" w14:paraId="2284D88A" w14:textId="77777777" w:rsidTr="00E07FE9">
        <w:tc>
          <w:tcPr>
            <w:tcW w:w="852" w:type="dxa"/>
          </w:tcPr>
          <w:p w14:paraId="4F3EBD1A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0080-0120</w:t>
            </w:r>
          </w:p>
        </w:tc>
        <w:tc>
          <w:tcPr>
            <w:tcW w:w="8010" w:type="dxa"/>
          </w:tcPr>
          <w:p w14:paraId="34E9771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sin liquidar hasta 4 días (factor 0</w:t>
            </w:r>
            <w:r>
              <w:t> 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%) </w:t>
            </w:r>
          </w:p>
          <w:p w14:paraId="7B8BB09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sin liquidar entre 5 y 15 días (factor 8 %)</w:t>
            </w:r>
          </w:p>
          <w:p w14:paraId="3902398B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sin liquidar entre 16 y 30 días (factor 50 %)</w:t>
            </w:r>
          </w:p>
          <w:p w14:paraId="256655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sin liquidar entre 31 y 45 días (factor 75 %)</w:t>
            </w:r>
          </w:p>
          <w:p w14:paraId="61E1443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Operaciones sin liquidar durante 46 días o más (factor 100 %)</w:t>
            </w:r>
          </w:p>
          <w:p w14:paraId="1A0345F5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Las entidades comunicarán en las filas 0080 a 0120 la información relativa al riesgo de liquidación/entrega correspondiente a las posiciones de la cartera de negociación con arreglo a las categorías enumeradas en el cuadro 1 del artículo 378 del Reglamento (UE) n.º 575/2013. </w:t>
            </w:r>
          </w:p>
          <w:p w14:paraId="0A9F762A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 se exigirán requisitos de fondos propios por riesgo de liquidación/entrega en lo que respecta a las operaciones sin liquidar durante menos de cinco días hábiles después de la fecha de liquidación estipulada.</w:t>
            </w:r>
          </w:p>
        </w:tc>
      </w:tr>
    </w:tbl>
    <w:p w14:paraId="5D73F136" w14:textId="77777777" w:rsidR="00925646" w:rsidRPr="002A677E" w:rsidRDefault="00925646" w:rsidP="00925646">
      <w:pPr>
        <w:spacing w:after="0"/>
        <w:rPr>
          <w:rFonts w:ascii="Times New Roman" w:hAnsi="Times New Roman"/>
          <w:sz w:val="24"/>
        </w:rPr>
      </w:pPr>
    </w:p>
    <w:p w14:paraId="557ADFEB" w14:textId="43C56E36" w:rsidR="00925646" w:rsidRDefault="00925646"/>
    <w:sectPr w:rsidR="00925646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4A1AA" w14:textId="77777777" w:rsidR="00960943" w:rsidRDefault="00960943" w:rsidP="00925646">
      <w:pPr>
        <w:spacing w:before="0" w:after="0"/>
      </w:pPr>
      <w:r>
        <w:separator/>
      </w:r>
    </w:p>
  </w:endnote>
  <w:endnote w:type="continuationSeparator" w:id="0">
    <w:p w14:paraId="65273641" w14:textId="77777777" w:rsidR="00960943" w:rsidRDefault="00960943" w:rsidP="009256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BB9E" w14:textId="77777777" w:rsidR="00960943" w:rsidRDefault="00960943" w:rsidP="00925646">
      <w:pPr>
        <w:spacing w:before="0" w:after="0"/>
      </w:pPr>
      <w:r>
        <w:separator/>
      </w:r>
    </w:p>
  </w:footnote>
  <w:footnote w:type="continuationSeparator" w:id="0">
    <w:p w14:paraId="07A05382" w14:textId="77777777" w:rsidR="00960943" w:rsidRDefault="00960943" w:rsidP="009256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F0C6" w14:textId="3A9322B0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A67A4D" wp14:editId="1C73451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85299262" name="Text Box 2" descr="Uso habitual de la 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C118C" w14:textId="6D89FBB4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habitual de la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67A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so habitual de la AB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98C118C" w14:textId="6D89FBB4" w:rsidR="00925646" w:rsidRPr="00925646" w:rsidRDefault="00925646" w:rsidP="0092564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habitual de la 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5C3" w14:textId="60A18E7B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E3E4E5" wp14:editId="23EF4F52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58750035" name="Text Box 3" descr="Uso habitual de la 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41E575" w14:textId="100C6677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habitual de la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3E4E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so habitual de la AB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941E575" w14:textId="100C6677" w:rsidR="00925646" w:rsidRPr="00925646" w:rsidRDefault="00925646" w:rsidP="0092564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habitual de la 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63BA" w14:textId="2933D5A5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97E951" wp14:editId="175F54D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58255065" name="Text Box 1" descr="Uso habitual de la 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D547D" w14:textId="0ABEE687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habitual de la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7E9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so habitual de la A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C9D547D" w14:textId="0ABEE687" w:rsidR="00925646" w:rsidRPr="00925646" w:rsidRDefault="00925646" w:rsidP="0092564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habitual de la 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25646"/>
    <w:rsid w:val="005A0E0B"/>
    <w:rsid w:val="00631623"/>
    <w:rsid w:val="006364D5"/>
    <w:rsid w:val="00736637"/>
    <w:rsid w:val="007E5623"/>
    <w:rsid w:val="00925646"/>
    <w:rsid w:val="00960943"/>
    <w:rsid w:val="009C5DD6"/>
    <w:rsid w:val="00A6002C"/>
    <w:rsid w:val="00AB618F"/>
    <w:rsid w:val="00B71F25"/>
    <w:rsid w:val="00CB0520"/>
    <w:rsid w:val="00CF7367"/>
    <w:rsid w:val="00EE75F2"/>
    <w:rsid w:val="00EF07A1"/>
    <w:rsid w:val="00F864F9"/>
    <w:rsid w:val="00FA21C6"/>
    <w:rsid w:val="00FC29F5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1F2F"/>
  <w15:chartTrackingRefBased/>
  <w15:docId w15:val="{0BCCFD41-E2B6-484E-8347-5B1A000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646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6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6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6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6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6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6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6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6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6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6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6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6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6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56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56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6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6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646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925646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InstructionsTabelleberschrift">
    <w:name w:val="Instructions Tabelle Überschrift"/>
    <w:qFormat/>
    <w:rsid w:val="00925646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25646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925646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92564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25646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A44420-79B2-45F6-B914-61AE90D76A92}"/>
</file>

<file path=customXml/itemProps2.xml><?xml version="1.0" encoding="utf-8"?>
<ds:datastoreItem xmlns:ds="http://schemas.openxmlformats.org/officeDocument/2006/customXml" ds:itemID="{1F446518-0FCF-416C-A682-F89A7C1B9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F9F947-574A-431C-BB1E-1E311FE824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1238</Words>
  <Characters>7088</Characters>
  <Application>Microsoft Office Word</Application>
  <DocSecurity>0</DocSecurity>
  <Lines>154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BALSA GARCIA Maria Del Carmen (DGT)</cp:lastModifiedBy>
  <cp:revision>10</cp:revision>
  <dcterms:created xsi:type="dcterms:W3CDTF">2024-05-28T09:25:00Z</dcterms:created>
  <dcterms:modified xsi:type="dcterms:W3CDTF">2025-01-27T10:30:00Z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3f13b0d9,40b05a3e,2743ba53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2024-07-10T18:21:37Z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8bd36abc-edef-4d8a-961c-71b37bbefd17</vt:lpwstr>
  </property>
  <property fmtid="{D5CDD505-2E9C-101B-9397-08002B2CF9AE}" pid="12" name="MSIP_Label_6bd9ddd1-4d20-43f6-abfa-fc3c07406f94_ContentBits">
    <vt:lpwstr>0</vt:lpwstr>
  </property>
</Properties>
</file>